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B52D" w14:textId="77777777" w:rsidR="00780350" w:rsidRPr="00934539" w:rsidRDefault="00780350" w:rsidP="00780350">
      <w:pPr>
        <w:rPr>
          <w:rFonts w:ascii="Alwyn" w:hAnsi="Alwyn" w:cs="Arial"/>
        </w:rPr>
      </w:pPr>
      <w:r w:rsidRPr="00934539">
        <w:rPr>
          <w:rFonts w:ascii="Alwyn" w:hAnsi="Alwyn" w:cs="Arial"/>
        </w:rPr>
        <w:t>Annexe 1</w:t>
      </w:r>
    </w:p>
    <w:p w14:paraId="01B25BF7" w14:textId="77777777" w:rsidR="00780350" w:rsidRDefault="00780350" w:rsidP="00780350">
      <w:pPr>
        <w:rPr>
          <w:rFonts w:ascii="Alwyn" w:hAnsi="Alwyn" w:cs="Arial"/>
          <w:b/>
          <w:sz w:val="24"/>
        </w:rPr>
      </w:pPr>
      <w:r w:rsidRPr="00934539">
        <w:rPr>
          <w:rFonts w:ascii="Alwyn" w:hAnsi="Alwyn" w:cs="Arial"/>
          <w:b/>
          <w:sz w:val="24"/>
        </w:rPr>
        <w:t>Exemple de rapport de présentat</w:t>
      </w:r>
      <w:r>
        <w:rPr>
          <w:rFonts w:ascii="Alwyn" w:hAnsi="Alwyn" w:cs="Arial"/>
          <w:b/>
          <w:sz w:val="24"/>
        </w:rPr>
        <w:t>ion du projet de transformation</w:t>
      </w:r>
    </w:p>
    <w:p w14:paraId="327EB353" w14:textId="77777777" w:rsidR="00780350" w:rsidRPr="00934539" w:rsidRDefault="00780350" w:rsidP="00780350">
      <w:pPr>
        <w:rPr>
          <w:rFonts w:ascii="Alwyn" w:hAnsi="Alwyn" w:cs="Arial"/>
          <w:b/>
          <w:sz w:val="24"/>
        </w:rPr>
      </w:pPr>
      <w:proofErr w:type="gramStart"/>
      <w:r w:rsidRPr="00934539">
        <w:rPr>
          <w:rFonts w:ascii="Alwyn" w:hAnsi="Alwyn" w:cs="Arial"/>
          <w:b/>
          <w:sz w:val="24"/>
        </w:rPr>
        <w:t>au</w:t>
      </w:r>
      <w:proofErr w:type="gramEnd"/>
      <w:r w:rsidRPr="00934539">
        <w:rPr>
          <w:rFonts w:ascii="Alwyn" w:hAnsi="Alwyn" w:cs="Arial"/>
          <w:b/>
          <w:sz w:val="24"/>
        </w:rPr>
        <w:t xml:space="preserve"> conseil d’administration</w:t>
      </w:r>
    </w:p>
    <w:p w14:paraId="41B25185" w14:textId="77777777" w:rsidR="00780350" w:rsidRDefault="00780350" w:rsidP="00780350">
      <w:pPr>
        <w:rPr>
          <w:rFonts w:ascii="Arial Black" w:hAnsi="Arial Black" w:cs="Arial"/>
        </w:rPr>
      </w:pPr>
    </w:p>
    <w:p w14:paraId="70EE280A" w14:textId="77777777" w:rsidR="00780350" w:rsidRDefault="00780350" w:rsidP="00780350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Projet de transformation de la SCP d’HLM XXX en </w:t>
      </w:r>
      <w:proofErr w:type="spellStart"/>
      <w:r>
        <w:rPr>
          <w:rFonts w:ascii="Arial Black" w:hAnsi="Arial Black" w:cs="Arial"/>
        </w:rPr>
        <w:t>Scic</w:t>
      </w:r>
      <w:proofErr w:type="spellEnd"/>
      <w:r>
        <w:rPr>
          <w:rFonts w:ascii="Arial Black" w:hAnsi="Arial Black" w:cs="Arial"/>
        </w:rPr>
        <w:t xml:space="preserve"> Hlm</w:t>
      </w:r>
    </w:p>
    <w:p w14:paraId="7B8307D5" w14:textId="77777777" w:rsidR="00780350" w:rsidRPr="00934539" w:rsidRDefault="00780350" w:rsidP="00780350">
      <w:pPr>
        <w:rPr>
          <w:rFonts w:ascii="Arial" w:hAnsi="Arial" w:cs="Arial"/>
        </w:rPr>
      </w:pPr>
    </w:p>
    <w:p w14:paraId="6CD06E7D" w14:textId="77777777" w:rsidR="00780350" w:rsidRPr="00934539" w:rsidRDefault="00780350" w:rsidP="00780350">
      <w:pPr>
        <w:rPr>
          <w:rFonts w:ascii="Arial" w:hAnsi="Arial" w:cs="Arial"/>
        </w:rPr>
      </w:pPr>
      <w:r w:rsidRPr="00934539">
        <w:rPr>
          <w:rFonts w:ascii="Arial" w:hAnsi="Arial" w:cs="Arial"/>
        </w:rPr>
        <w:t>[</w:t>
      </w:r>
      <w:r w:rsidRPr="003F454B">
        <w:rPr>
          <w:rFonts w:ascii="Arial" w:hAnsi="Arial" w:cs="Arial"/>
          <w:i/>
        </w:rPr>
        <w:t xml:space="preserve">Rappel historique de la </w:t>
      </w:r>
      <w:proofErr w:type="spellStart"/>
      <w:r w:rsidRPr="003F454B">
        <w:rPr>
          <w:rFonts w:ascii="Arial" w:hAnsi="Arial" w:cs="Arial"/>
          <w:i/>
        </w:rPr>
        <w:t>Coop’HLM</w:t>
      </w:r>
      <w:proofErr w:type="spellEnd"/>
      <w:r w:rsidRPr="00934539">
        <w:rPr>
          <w:rFonts w:ascii="Arial" w:hAnsi="Arial" w:cs="Arial"/>
        </w:rPr>
        <w:t>]</w:t>
      </w:r>
    </w:p>
    <w:p w14:paraId="132B91D9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0986DC9F" w14:textId="77777777" w:rsidR="00780350" w:rsidRDefault="00780350" w:rsidP="00780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34539">
        <w:rPr>
          <w:rFonts w:ascii="Arial" w:hAnsi="Arial" w:cs="Arial"/>
        </w:rPr>
        <w:t xml:space="preserve">a société anonyme coopérative de production d’HLM </w:t>
      </w:r>
      <w:r>
        <w:rPr>
          <w:rFonts w:ascii="Arial" w:hAnsi="Arial" w:cs="Arial"/>
        </w:rPr>
        <w:t xml:space="preserve">XXX doit évoluer afin </w:t>
      </w:r>
      <w:r w:rsidRPr="00934539">
        <w:rPr>
          <w:rFonts w:ascii="Arial" w:hAnsi="Arial" w:cs="Arial"/>
        </w:rPr>
        <w:t>d’élargir ses missions à l’économie sociale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et solidaire nécessaire à la vie des ensembles immobiliers qu’elle construit.</w:t>
      </w:r>
    </w:p>
    <w:p w14:paraId="15CA6860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1112EF96" w14:textId="149683F9" w:rsidR="00780350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 xml:space="preserve">Pour répondre aux besoins exprimés par </w:t>
      </w:r>
      <w:r>
        <w:rPr>
          <w:rFonts w:ascii="Arial" w:hAnsi="Arial" w:cs="Arial"/>
        </w:rPr>
        <w:t>les associés majoritaires</w:t>
      </w:r>
      <w:r w:rsidRPr="00934539">
        <w:rPr>
          <w:rFonts w:ascii="Arial" w:hAnsi="Arial" w:cs="Arial"/>
        </w:rPr>
        <w:t>, il est nécessaire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de faire évoluer notre coopérative et de transformer notre société anonyme coopérative de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 xml:space="preserve">production d’HLM </w:t>
      </w:r>
      <w:r>
        <w:rPr>
          <w:rFonts w:ascii="Arial" w:hAnsi="Arial" w:cs="Arial"/>
        </w:rPr>
        <w:t>XXX</w:t>
      </w:r>
      <w:r w:rsidRPr="00934539">
        <w:rPr>
          <w:rFonts w:ascii="Arial" w:hAnsi="Arial" w:cs="Arial"/>
        </w:rPr>
        <w:t xml:space="preserve"> en société anonyme coopérative d’intérêt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collectif HLM.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C’est en effet, la structure la plus pertinente et adaptée pour faire face à ces nouveaux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enjeux.</w:t>
      </w:r>
    </w:p>
    <w:p w14:paraId="1E7E16A0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6636B663" w14:textId="77777777" w:rsidR="00780350" w:rsidRPr="00934539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D’une part, parce que l’objet social de ce type de société lui permet d’assurer l’ensemble</w:t>
      </w:r>
      <w:r>
        <w:rPr>
          <w:rFonts w:ascii="Arial" w:hAnsi="Arial" w:cs="Arial"/>
        </w:rPr>
        <w:t xml:space="preserve"> des missions qu’elle envisage de développer.</w:t>
      </w:r>
    </w:p>
    <w:p w14:paraId="5BFFF1FE" w14:textId="77777777" w:rsidR="00780350" w:rsidRDefault="00780350" w:rsidP="00780350">
      <w:pPr>
        <w:jc w:val="both"/>
        <w:rPr>
          <w:rFonts w:ascii="Arial" w:hAnsi="Arial" w:cs="Arial"/>
        </w:rPr>
      </w:pPr>
    </w:p>
    <w:p w14:paraId="04F38B0C" w14:textId="77777777" w:rsidR="00780350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D’autre part, parce que sa gouvernance est souple et autorise une meilleure implication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des acteurs en raison de leur fonction.</w:t>
      </w:r>
    </w:p>
    <w:p w14:paraId="0E2A02CF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7CBA828E" w14:textId="77777777" w:rsidR="00780350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De plus, les fondements juridiques des SCIC sont de susciter et favoriser les partenariats.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En effet, la société anonyme coopérative d’intérêt collectif HLM fonctionne en collèges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dont la structuration est plus souple et permettent une organisation pertinente des droits de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vote.</w:t>
      </w:r>
    </w:p>
    <w:p w14:paraId="1A2F8D1B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2D4500AE" w14:textId="77777777" w:rsidR="00780350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Trois collèges sont obligatoires :</w:t>
      </w:r>
    </w:p>
    <w:p w14:paraId="4B37CBB5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368EB6F2" w14:textId="77777777" w:rsidR="00780350" w:rsidRPr="00934539" w:rsidRDefault="00780350" w:rsidP="00780350">
      <w:pPr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rFonts w:ascii="Arial" w:hAnsi="Arial" w:cs="Arial"/>
        </w:rPr>
      </w:pPr>
      <w:proofErr w:type="gramStart"/>
      <w:r w:rsidRPr="00934539">
        <w:rPr>
          <w:rFonts w:ascii="Arial" w:hAnsi="Arial" w:cs="Arial"/>
        </w:rPr>
        <w:t>celui</w:t>
      </w:r>
      <w:proofErr w:type="gramEnd"/>
      <w:r w:rsidRPr="00934539">
        <w:rPr>
          <w:rFonts w:ascii="Arial" w:hAnsi="Arial" w:cs="Arial"/>
        </w:rPr>
        <w:t xml:space="preserve"> des salariés (titulaire du contrat de travail avec la société anonyme coopérative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d’intérêt collectif HLM) ;</w:t>
      </w:r>
    </w:p>
    <w:p w14:paraId="1C0D33BD" w14:textId="77777777" w:rsidR="00780350" w:rsidRDefault="00780350" w:rsidP="00780350">
      <w:pPr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rPr>
          <w:rFonts w:ascii="Arial" w:hAnsi="Arial" w:cs="Arial"/>
        </w:rPr>
      </w:pPr>
      <w:proofErr w:type="gramStart"/>
      <w:r w:rsidRPr="00934539">
        <w:rPr>
          <w:rFonts w:ascii="Arial" w:hAnsi="Arial" w:cs="Arial"/>
        </w:rPr>
        <w:t>celui</w:t>
      </w:r>
      <w:proofErr w:type="gramEnd"/>
      <w:r w:rsidRPr="00934539">
        <w:rPr>
          <w:rFonts w:ascii="Arial" w:hAnsi="Arial" w:cs="Arial"/>
        </w:rPr>
        <w:t xml:space="preserve"> des utilisateurs (personnes physiques qui bénéficient des services de la SCIC) ;</w:t>
      </w:r>
      <w:r>
        <w:rPr>
          <w:rFonts w:ascii="Arial" w:hAnsi="Arial" w:cs="Arial"/>
        </w:rPr>
        <w:t xml:space="preserve"> </w:t>
      </w:r>
    </w:p>
    <w:p w14:paraId="41869AA0" w14:textId="77777777" w:rsidR="00780350" w:rsidRPr="00934539" w:rsidRDefault="00780350" w:rsidP="00780350">
      <w:pPr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rPr>
          <w:rFonts w:ascii="Arial" w:hAnsi="Arial" w:cs="Arial"/>
        </w:rPr>
      </w:pPr>
      <w:proofErr w:type="gramStart"/>
      <w:r w:rsidRPr="00934539">
        <w:rPr>
          <w:rFonts w:ascii="Arial" w:hAnsi="Arial" w:cs="Arial"/>
        </w:rPr>
        <w:t>celui</w:t>
      </w:r>
      <w:proofErr w:type="gramEnd"/>
      <w:r w:rsidRPr="00934539">
        <w:rPr>
          <w:rFonts w:ascii="Arial" w:hAnsi="Arial" w:cs="Arial"/>
        </w:rPr>
        <w:t xml:space="preserve"> des collectivités publiques et de leurs groupements.</w:t>
      </w:r>
    </w:p>
    <w:p w14:paraId="63E6B21B" w14:textId="77777777" w:rsidR="00780350" w:rsidRDefault="00780350" w:rsidP="00780350">
      <w:pPr>
        <w:rPr>
          <w:rFonts w:ascii="Arial" w:hAnsi="Arial" w:cs="Arial"/>
        </w:rPr>
      </w:pPr>
    </w:p>
    <w:p w14:paraId="244BA8AD" w14:textId="77777777" w:rsidR="00780350" w:rsidRDefault="00780350" w:rsidP="00780350">
      <w:pPr>
        <w:rPr>
          <w:rFonts w:ascii="Arial" w:hAnsi="Arial" w:cs="Arial"/>
        </w:rPr>
      </w:pPr>
      <w:r w:rsidRPr="00934539">
        <w:rPr>
          <w:rFonts w:ascii="Arial" w:hAnsi="Arial" w:cs="Arial"/>
        </w:rPr>
        <w:t>Par ailleurs, le législateur permet aux sociétés anonymes coopérative d’intérêt collectif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HLM de créer d’autres collèges.</w:t>
      </w:r>
    </w:p>
    <w:p w14:paraId="0592B9C9" w14:textId="77777777" w:rsidR="00780350" w:rsidRPr="00934539" w:rsidRDefault="00780350" w:rsidP="00780350">
      <w:pPr>
        <w:rPr>
          <w:rFonts w:ascii="Arial" w:hAnsi="Arial" w:cs="Arial"/>
        </w:rPr>
      </w:pPr>
    </w:p>
    <w:p w14:paraId="68EE0BB0" w14:textId="77777777" w:rsidR="00780350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Afin de répondre à ces nouveaux enjeux, il est proposé de procéder à la transformation de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 xml:space="preserve">la société </w:t>
      </w:r>
      <w:r>
        <w:rPr>
          <w:rFonts w:ascii="Arial" w:hAnsi="Arial" w:cs="Arial"/>
        </w:rPr>
        <w:t>a</w:t>
      </w:r>
      <w:r w:rsidRPr="00934539">
        <w:rPr>
          <w:rFonts w:ascii="Arial" w:hAnsi="Arial" w:cs="Arial"/>
        </w:rPr>
        <w:t>nonyme coopérative de production d’HLM de la Boucle de la Seine en société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anonyme coopérative d’intérêt collectif HLM de la Boucle de la Seine avec les collèges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suivants :</w:t>
      </w:r>
    </w:p>
    <w:p w14:paraId="0F435D92" w14:textId="77777777" w:rsidR="00780350" w:rsidRPr="00934539" w:rsidRDefault="00780350" w:rsidP="00780350">
      <w:pPr>
        <w:rPr>
          <w:rFonts w:ascii="Arial" w:hAnsi="Arial" w:cs="Arial"/>
        </w:rPr>
      </w:pPr>
    </w:p>
    <w:p w14:paraId="26695C78" w14:textId="77777777" w:rsidR="00780350" w:rsidRPr="00934539" w:rsidRDefault="00780350" w:rsidP="00780350">
      <w:pPr>
        <w:rPr>
          <w:rFonts w:ascii="Arial" w:hAnsi="Arial" w:cs="Arial"/>
        </w:rPr>
      </w:pPr>
      <w:r w:rsidRPr="00934539">
        <w:rPr>
          <w:rFonts w:ascii="Arial" w:hAnsi="Arial" w:cs="Arial"/>
        </w:rPr>
        <w:t>- celui des salariés ;</w:t>
      </w:r>
    </w:p>
    <w:p w14:paraId="330D2470" w14:textId="77777777" w:rsidR="00780350" w:rsidRPr="00934539" w:rsidRDefault="00780350" w:rsidP="00780350">
      <w:pPr>
        <w:rPr>
          <w:rFonts w:ascii="Arial" w:hAnsi="Arial" w:cs="Arial"/>
        </w:rPr>
      </w:pPr>
      <w:r w:rsidRPr="00934539">
        <w:rPr>
          <w:rFonts w:ascii="Arial" w:hAnsi="Arial" w:cs="Arial"/>
        </w:rPr>
        <w:t>- celui des utilisateurs ;</w:t>
      </w:r>
    </w:p>
    <w:p w14:paraId="1A3BA30C" w14:textId="77777777" w:rsidR="00780350" w:rsidRDefault="00780350" w:rsidP="00780350">
      <w:pPr>
        <w:rPr>
          <w:rFonts w:ascii="Arial" w:hAnsi="Arial" w:cs="Arial"/>
        </w:rPr>
      </w:pPr>
      <w:r w:rsidRPr="00934539">
        <w:rPr>
          <w:rFonts w:ascii="Arial" w:hAnsi="Arial" w:cs="Arial"/>
        </w:rPr>
        <w:t>- celui des collectivités publiques ;</w:t>
      </w:r>
    </w:p>
    <w:p w14:paraId="7CEACC56" w14:textId="77777777" w:rsidR="00780350" w:rsidRDefault="00780350" w:rsidP="00780350">
      <w:pPr>
        <w:rPr>
          <w:rFonts w:ascii="Arial" w:hAnsi="Arial" w:cs="Arial"/>
        </w:rPr>
      </w:pPr>
      <w:r>
        <w:rPr>
          <w:rFonts w:ascii="Arial" w:hAnsi="Arial" w:cs="Arial"/>
        </w:rPr>
        <w:t>- …</w:t>
      </w:r>
    </w:p>
    <w:p w14:paraId="56ADFC4C" w14:textId="77777777" w:rsidR="00780350" w:rsidRPr="00934539" w:rsidRDefault="00780350" w:rsidP="00780350">
      <w:pPr>
        <w:rPr>
          <w:rFonts w:ascii="Arial" w:hAnsi="Arial" w:cs="Arial"/>
        </w:rPr>
      </w:pPr>
    </w:p>
    <w:p w14:paraId="6BB4CF97" w14:textId="77777777" w:rsidR="00780350" w:rsidRDefault="00780350" w:rsidP="00780350">
      <w:pPr>
        <w:rPr>
          <w:rFonts w:ascii="Arial" w:hAnsi="Arial" w:cs="Arial"/>
        </w:rPr>
      </w:pPr>
      <w:r w:rsidRPr="00934539">
        <w:rPr>
          <w:rFonts w:ascii="Arial" w:hAnsi="Arial" w:cs="Arial"/>
        </w:rPr>
        <w:t>Par rapport à l’existant et compte tenu de l’état d’avancement des partenariats en cours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d’élaboration, cette organisation des collèges a le mérite de la simplicité.</w:t>
      </w:r>
    </w:p>
    <w:p w14:paraId="128CC7D9" w14:textId="77777777" w:rsidR="00780350" w:rsidRPr="00934539" w:rsidRDefault="00780350" w:rsidP="00780350">
      <w:pPr>
        <w:rPr>
          <w:rFonts w:ascii="Arial" w:hAnsi="Arial" w:cs="Arial"/>
        </w:rPr>
      </w:pPr>
    </w:p>
    <w:p w14:paraId="3DDB8A34" w14:textId="77777777" w:rsidR="00780350" w:rsidRDefault="00780350" w:rsidP="00780350">
      <w:pPr>
        <w:rPr>
          <w:rFonts w:ascii="Arial" w:hAnsi="Arial" w:cs="Arial"/>
        </w:rPr>
      </w:pPr>
      <w:r w:rsidRPr="00934539">
        <w:rPr>
          <w:rFonts w:ascii="Arial" w:hAnsi="Arial" w:cs="Arial"/>
        </w:rPr>
        <w:t>En effet, elle permet à la structure existante :</w:t>
      </w:r>
    </w:p>
    <w:p w14:paraId="2A51B37A" w14:textId="77777777" w:rsidR="00780350" w:rsidRPr="00934539" w:rsidRDefault="00780350" w:rsidP="00780350">
      <w:pPr>
        <w:rPr>
          <w:rFonts w:ascii="Arial" w:hAnsi="Arial" w:cs="Arial"/>
        </w:rPr>
      </w:pPr>
    </w:p>
    <w:p w14:paraId="1B5F06D8" w14:textId="77777777" w:rsidR="00780350" w:rsidRPr="00934539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- de transformer les collèges existants d’</w:t>
      </w:r>
      <w:r>
        <w:rPr>
          <w:rFonts w:ascii="Arial" w:hAnsi="Arial" w:cs="Arial"/>
        </w:rPr>
        <w:t xml:space="preserve">associés A (utilisateurs), B (collectivités locales) et C (HLM) </w:t>
      </w:r>
      <w:r w:rsidRPr="00934539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c</w:t>
      </w:r>
      <w:r w:rsidRPr="00934539">
        <w:rPr>
          <w:rFonts w:ascii="Arial" w:hAnsi="Arial" w:cs="Arial"/>
        </w:rPr>
        <w:t>ollèges util</w:t>
      </w:r>
      <w:r>
        <w:rPr>
          <w:rFonts w:ascii="Arial" w:hAnsi="Arial" w:cs="Arial"/>
        </w:rPr>
        <w:t>isateurs, collectivités publiques e</w:t>
      </w:r>
      <w:r w:rsidRPr="00934539">
        <w:rPr>
          <w:rFonts w:ascii="Arial" w:hAnsi="Arial" w:cs="Arial"/>
        </w:rPr>
        <w:t>t personnes morales ayant un statut HLM ;</w:t>
      </w:r>
    </w:p>
    <w:p w14:paraId="279656CD" w14:textId="77777777" w:rsidR="00780350" w:rsidRPr="00934539" w:rsidRDefault="00780350" w:rsidP="00780350">
      <w:pPr>
        <w:rPr>
          <w:rFonts w:ascii="Arial" w:hAnsi="Arial" w:cs="Arial"/>
        </w:rPr>
      </w:pPr>
      <w:r w:rsidRPr="00934539">
        <w:rPr>
          <w:rFonts w:ascii="Arial" w:hAnsi="Arial" w:cs="Arial"/>
        </w:rPr>
        <w:t>- de créer le collège salarié.</w:t>
      </w:r>
    </w:p>
    <w:p w14:paraId="4D8CB124" w14:textId="77777777" w:rsidR="00780350" w:rsidRDefault="00780350" w:rsidP="00780350">
      <w:pPr>
        <w:rPr>
          <w:rFonts w:ascii="Arial" w:hAnsi="Arial" w:cs="Arial"/>
        </w:rPr>
      </w:pPr>
    </w:p>
    <w:p w14:paraId="29749489" w14:textId="77777777" w:rsidR="00780350" w:rsidRDefault="00780350" w:rsidP="00780350">
      <w:pPr>
        <w:rPr>
          <w:rFonts w:ascii="Arial" w:hAnsi="Arial" w:cs="Arial"/>
        </w:rPr>
      </w:pPr>
      <w:r w:rsidRPr="00934539">
        <w:rPr>
          <w:rFonts w:ascii="Arial" w:hAnsi="Arial" w:cs="Arial"/>
        </w:rPr>
        <w:t>Il conviendra de fixer par la suite, les règles d’appartenance des associés à chacun des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collèges ainsi que leur pourcentage de droit de vote.</w:t>
      </w:r>
    </w:p>
    <w:p w14:paraId="7873192B" w14:textId="77777777" w:rsidR="00780350" w:rsidRPr="00934539" w:rsidRDefault="00780350" w:rsidP="00780350">
      <w:pPr>
        <w:rPr>
          <w:rFonts w:ascii="Arial" w:hAnsi="Arial" w:cs="Arial"/>
        </w:rPr>
      </w:pPr>
    </w:p>
    <w:p w14:paraId="729978CF" w14:textId="77777777" w:rsidR="00780350" w:rsidRDefault="00780350" w:rsidP="00780350">
      <w:pPr>
        <w:rPr>
          <w:rFonts w:ascii="Arial" w:hAnsi="Arial" w:cs="Arial"/>
        </w:rPr>
      </w:pPr>
      <w:r w:rsidRPr="00934539">
        <w:rPr>
          <w:rFonts w:ascii="Arial" w:hAnsi="Arial" w:cs="Arial"/>
        </w:rPr>
        <w:t>A cet égard, un projet d’attribution des droits de vote comportant les différentes limites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législatives figure aussi en annexe du présent rapport.</w:t>
      </w:r>
    </w:p>
    <w:p w14:paraId="04BC9683" w14:textId="77777777" w:rsidR="00780350" w:rsidRPr="00934539" w:rsidRDefault="00780350" w:rsidP="00780350">
      <w:pPr>
        <w:rPr>
          <w:rFonts w:ascii="Arial" w:hAnsi="Arial" w:cs="Arial"/>
        </w:rPr>
      </w:pPr>
    </w:p>
    <w:p w14:paraId="51E6D610" w14:textId="77777777" w:rsidR="00780350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De façon générale, aucun collège ne peut détenir à lui seul plus de 50 % du total des droits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de votes ou encore sa part dans le total des droits de vote ne pourra être inférieure à 10 %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de ce tota</w:t>
      </w:r>
      <w:r>
        <w:rPr>
          <w:rFonts w:ascii="Arial" w:hAnsi="Arial" w:cs="Arial"/>
        </w:rPr>
        <w:t xml:space="preserve">l </w:t>
      </w:r>
      <w:r w:rsidRPr="00934539">
        <w:rPr>
          <w:rFonts w:ascii="Arial" w:hAnsi="Arial" w:cs="Arial"/>
        </w:rPr>
        <w:t>et sans que, dans ces conditions, l’apport en capital constitue un critère de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pondération.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 xml:space="preserve">Le collège des </w:t>
      </w:r>
      <w:r>
        <w:rPr>
          <w:rFonts w:ascii="Arial" w:hAnsi="Arial" w:cs="Arial"/>
        </w:rPr>
        <w:t>s</w:t>
      </w:r>
      <w:r w:rsidRPr="00934539">
        <w:rPr>
          <w:rFonts w:ascii="Arial" w:hAnsi="Arial" w:cs="Arial"/>
        </w:rPr>
        <w:t>alariés ne peut détenir plus de 15 % des voix.</w:t>
      </w:r>
    </w:p>
    <w:p w14:paraId="1FAEFFAD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17935DDA" w14:textId="77777777" w:rsidR="00780350" w:rsidRPr="00934539" w:rsidRDefault="00780350" w:rsidP="00780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ailleurs, </w:t>
      </w:r>
      <w:r w:rsidRPr="00934539">
        <w:rPr>
          <w:rFonts w:ascii="Arial" w:hAnsi="Arial" w:cs="Arial"/>
        </w:rPr>
        <w:t>il convient d’observer que, de façon dérogatoire, l’interdiction faite aux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 xml:space="preserve">collectivités et leur groupement par la loi 10 septembre 1947 de ne pas détenir plus de 50% du capital d’une société </w:t>
      </w:r>
      <w:r>
        <w:rPr>
          <w:rFonts w:ascii="Arial" w:hAnsi="Arial" w:cs="Arial"/>
        </w:rPr>
        <w:t>c</w:t>
      </w:r>
      <w:r w:rsidRPr="00934539">
        <w:rPr>
          <w:rFonts w:ascii="Arial" w:hAnsi="Arial" w:cs="Arial"/>
        </w:rPr>
        <w:t xml:space="preserve">oopérative d’intérêt collectif n’est pas applicable aux </w:t>
      </w:r>
      <w:proofErr w:type="spellStart"/>
      <w:r>
        <w:rPr>
          <w:rFonts w:ascii="Arial" w:hAnsi="Arial" w:cs="Arial"/>
        </w:rPr>
        <w:t>scic</w:t>
      </w:r>
      <w:proofErr w:type="spellEnd"/>
      <w:r>
        <w:rPr>
          <w:rFonts w:ascii="Arial" w:hAnsi="Arial" w:cs="Arial"/>
        </w:rPr>
        <w:t xml:space="preserve"> Hlm.</w:t>
      </w:r>
    </w:p>
    <w:p w14:paraId="0B842B0C" w14:textId="77777777" w:rsidR="00780350" w:rsidRDefault="00780350" w:rsidP="00780350">
      <w:pPr>
        <w:jc w:val="both"/>
        <w:rPr>
          <w:rFonts w:ascii="Arial" w:hAnsi="Arial" w:cs="Arial"/>
        </w:rPr>
      </w:pPr>
    </w:p>
    <w:p w14:paraId="68741D56" w14:textId="77777777" w:rsidR="00780350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Le projet de l’organisation des droits de vote par collège figure en annexe du présent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rapport.</w:t>
      </w:r>
    </w:p>
    <w:p w14:paraId="49964C00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25EE7B16" w14:textId="77777777" w:rsidR="00780350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 xml:space="preserve">Au </w:t>
      </w:r>
      <w:proofErr w:type="gramStart"/>
      <w:r w:rsidRPr="00934539">
        <w:rPr>
          <w:rFonts w:ascii="Arial" w:hAnsi="Arial" w:cs="Arial"/>
        </w:rPr>
        <w:t>plan</w:t>
      </w:r>
      <w:proofErr w:type="gramEnd"/>
      <w:r w:rsidRPr="00934539">
        <w:rPr>
          <w:rFonts w:ascii="Arial" w:hAnsi="Arial" w:cs="Arial"/>
        </w:rPr>
        <w:t xml:space="preserve"> de la gouvernance, les sociétés anonymes coopératives d’intérêt collectif HLM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s’organisent comme dans le droit commun, des sociétés commerciales et comprend :</w:t>
      </w:r>
    </w:p>
    <w:p w14:paraId="48F4C1B9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70B8C207" w14:textId="77777777" w:rsidR="00780350" w:rsidRPr="00934539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- une assemblée générale ;</w:t>
      </w:r>
    </w:p>
    <w:p w14:paraId="7AF86EFD" w14:textId="77777777" w:rsidR="00780350" w:rsidRPr="00934539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- un conseil d’Administration (ou directoire et conseil de surveillance) ;</w:t>
      </w:r>
    </w:p>
    <w:p w14:paraId="27C6E835" w14:textId="77777777" w:rsidR="00780350" w:rsidRPr="00934539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- un président ;</w:t>
      </w:r>
    </w:p>
    <w:p w14:paraId="14C6FC51" w14:textId="77777777" w:rsidR="00780350" w:rsidRPr="00934539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- un directeur général.</w:t>
      </w:r>
    </w:p>
    <w:p w14:paraId="30CA78B5" w14:textId="77777777" w:rsidR="00780350" w:rsidRDefault="00780350" w:rsidP="00780350">
      <w:pPr>
        <w:jc w:val="both"/>
        <w:rPr>
          <w:rFonts w:ascii="Arial" w:hAnsi="Arial" w:cs="Arial"/>
        </w:rPr>
      </w:pPr>
    </w:p>
    <w:p w14:paraId="628583F4" w14:textId="77777777" w:rsidR="00780350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La transformation sera effectuée sur le fondement des dispositions de l’article L.422-3-2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du code de la construction et de l’habitation qui précisent :</w:t>
      </w:r>
    </w:p>
    <w:p w14:paraId="37241D6E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7F89CD1D" w14:textId="19884954" w:rsidR="00780350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« Les sociétés anonymes mentionnées aux articles L.422-2, L.422-3 et L. 422-13 peuvent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 xml:space="preserve">décider de se transformer en société anonyme coopérative </w:t>
      </w:r>
      <w:r w:rsidRPr="00780350">
        <w:rPr>
          <w:rFonts w:ascii="Arial" w:hAnsi="Arial" w:cs="Arial"/>
        </w:rPr>
        <w:t xml:space="preserve">d'intérêt collectif d'habitations à loyer modéré. Cette décision n'entraîne pas la création d'une personne morale nouvelle. </w:t>
      </w:r>
      <w:r w:rsidRPr="00780350">
        <w:rPr>
          <w:rFonts w:ascii="Arial" w:hAnsi="Arial" w:cs="Arial"/>
          <w:color w:val="000000"/>
          <w:shd w:val="clear" w:color="auto" w:fill="FFFFFF"/>
        </w:rPr>
        <w:t>A peine de nullité, la décision de transformation doit être agréée par l'autorité administrative</w:t>
      </w:r>
      <w:r w:rsidRPr="00780350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34539">
        <w:rPr>
          <w:rFonts w:ascii="Arial" w:hAnsi="Arial" w:cs="Arial"/>
        </w:rPr>
        <w:t>».</w:t>
      </w:r>
    </w:p>
    <w:p w14:paraId="648ECEAA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559B36C9" w14:textId="77777777" w:rsidR="00780350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La société anonyme coopérative de production d’HLM se range donc au nombre des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sociétés qui peuvent être transformées en société anonyme coopérative d’intérêt collectif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HLM.</w:t>
      </w:r>
    </w:p>
    <w:p w14:paraId="3E918D7E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70EDF7C2" w14:textId="77777777" w:rsidR="00780350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Toute société anonyme coopérative de production d’HLM peut donc, lors d'une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Assemblée générale extraordinaire, adopter les statuts d'une société anonyme coopérative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d’intérêt collectif HLM.</w:t>
      </w:r>
    </w:p>
    <w:p w14:paraId="7446B746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57F1E48D" w14:textId="77777777" w:rsidR="00780350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Cette décision n'entraîne pas la création d'une personne morale nouvelle.</w:t>
      </w:r>
    </w:p>
    <w:p w14:paraId="75D9D341" w14:textId="77777777" w:rsidR="00780350" w:rsidRDefault="00780350" w:rsidP="00780350">
      <w:pPr>
        <w:jc w:val="both"/>
        <w:rPr>
          <w:rFonts w:ascii="Arial" w:hAnsi="Arial" w:cs="Arial"/>
        </w:rPr>
      </w:pPr>
    </w:p>
    <w:p w14:paraId="408A633E" w14:textId="77777777" w:rsidR="00780350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>Seul le droit fixe d'enregistrement est donc dû.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Par ailleurs, l'ensemble des actifs et du patrimoine de l'ancienne société anonyme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coopérative demeure la propriété de la nouvelle structure et les contrats et conventions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conclus antérieurement ne sont pas remis en cause.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Enfin, la société gardant sa forme anonyme, aucun rapport du commissaire aux comptes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n'est requis.</w:t>
      </w:r>
    </w:p>
    <w:p w14:paraId="180E1A77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701A1202" w14:textId="5C10E4AF" w:rsidR="00780350" w:rsidRDefault="00780350" w:rsidP="00780350">
      <w:pPr>
        <w:jc w:val="both"/>
        <w:rPr>
          <w:rFonts w:ascii="Arial" w:hAnsi="Arial" w:cs="Arial"/>
        </w:rPr>
      </w:pPr>
      <w:r w:rsidRPr="00934539">
        <w:rPr>
          <w:rFonts w:ascii="Arial" w:hAnsi="Arial" w:cs="Arial"/>
        </w:rPr>
        <w:t xml:space="preserve">Toutefois, cette transformation suppose un agrément du </w:t>
      </w:r>
      <w:proofErr w:type="gramStart"/>
      <w:r>
        <w:rPr>
          <w:rFonts w:ascii="Arial" w:hAnsi="Arial" w:cs="Arial"/>
        </w:rPr>
        <w:t>Préfet</w:t>
      </w:r>
      <w:proofErr w:type="gramEnd"/>
      <w:r>
        <w:rPr>
          <w:rFonts w:ascii="Arial" w:hAnsi="Arial" w:cs="Arial"/>
        </w:rPr>
        <w:t xml:space="preserve"> de région</w:t>
      </w:r>
      <w:r w:rsidRPr="00934539">
        <w:rPr>
          <w:rFonts w:ascii="Arial" w:hAnsi="Arial" w:cs="Arial"/>
        </w:rPr>
        <w:t xml:space="preserve"> et ce à peine de nullité de la transformation.</w:t>
      </w:r>
    </w:p>
    <w:p w14:paraId="3331BB35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15E7AA10" w14:textId="77777777" w:rsidR="00780350" w:rsidRPr="00601041" w:rsidRDefault="00780350" w:rsidP="00780350">
      <w:pPr>
        <w:jc w:val="both"/>
        <w:rPr>
          <w:rFonts w:ascii="Arial" w:hAnsi="Arial" w:cs="Arial"/>
          <w:b/>
        </w:rPr>
      </w:pPr>
      <w:r w:rsidRPr="00601041">
        <w:rPr>
          <w:rFonts w:ascii="Arial" w:hAnsi="Arial" w:cs="Arial"/>
          <w:b/>
        </w:rPr>
        <w:t>Proposition de calendrier de transformation</w:t>
      </w:r>
    </w:p>
    <w:p w14:paraId="7373D810" w14:textId="77777777" w:rsidR="00780350" w:rsidRDefault="00780350" w:rsidP="00780350">
      <w:pPr>
        <w:jc w:val="both"/>
        <w:rPr>
          <w:rFonts w:ascii="Arial" w:hAnsi="Arial" w:cs="Arial"/>
        </w:rPr>
      </w:pPr>
    </w:p>
    <w:p w14:paraId="3E34DD1E" w14:textId="77777777" w:rsidR="00780350" w:rsidRPr="00934539" w:rsidRDefault="00780350" w:rsidP="007803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xxx</w:t>
      </w:r>
      <w:proofErr w:type="gramEnd"/>
      <w:r w:rsidRPr="00934539">
        <w:rPr>
          <w:rFonts w:ascii="Arial" w:hAnsi="Arial" w:cs="Arial"/>
        </w:rPr>
        <w:t xml:space="preserve"> : Conseil d’administration : étude du projet de transformation</w:t>
      </w:r>
    </w:p>
    <w:p w14:paraId="0D1392C1" w14:textId="77777777" w:rsidR="00780350" w:rsidRPr="00934539" w:rsidRDefault="00780350" w:rsidP="007803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xxx</w:t>
      </w:r>
      <w:r w:rsidRPr="00934539">
        <w:rPr>
          <w:rFonts w:ascii="Arial" w:hAnsi="Arial" w:cs="Arial"/>
        </w:rPr>
        <w:t>:</w:t>
      </w:r>
      <w:proofErr w:type="gramEnd"/>
      <w:r w:rsidRPr="00934539">
        <w:rPr>
          <w:rFonts w:ascii="Arial" w:hAnsi="Arial" w:cs="Arial"/>
        </w:rPr>
        <w:t xml:space="preserve"> Conseil d’administration : projet de transformation - agrément des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nouveaux associés - adoption des statuts – préparation de l’assemblée générale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extraordinaire de transformation</w:t>
      </w:r>
    </w:p>
    <w:p w14:paraId="42F1BB33" w14:textId="77777777" w:rsidR="00780350" w:rsidRPr="00934539" w:rsidRDefault="00780350" w:rsidP="007803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xxx</w:t>
      </w:r>
      <w:r w:rsidRPr="00934539">
        <w:rPr>
          <w:rFonts w:ascii="Arial" w:hAnsi="Arial" w:cs="Arial"/>
        </w:rPr>
        <w:t>:</w:t>
      </w:r>
      <w:proofErr w:type="gramEnd"/>
      <w:r w:rsidRPr="00934539">
        <w:rPr>
          <w:rFonts w:ascii="Arial" w:hAnsi="Arial" w:cs="Arial"/>
        </w:rPr>
        <w:t xml:space="preserve"> Assemblée générale extraordinaire de transformation – admission des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nouveaux associés – délibération de transformation sous condition suspensive de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l’agrément ministériel - adoption des nouveaux statuts – poursuite des mandats des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administrateurs</w:t>
      </w:r>
    </w:p>
    <w:p w14:paraId="4EA75923" w14:textId="77777777" w:rsidR="00780350" w:rsidRPr="00934539" w:rsidRDefault="00780350" w:rsidP="007803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xxx</w:t>
      </w:r>
      <w:r w:rsidRPr="00934539">
        <w:rPr>
          <w:rFonts w:ascii="Arial" w:hAnsi="Arial" w:cs="Arial"/>
        </w:rPr>
        <w:t>:</w:t>
      </w:r>
      <w:proofErr w:type="gramEnd"/>
      <w:r w:rsidRPr="00934539">
        <w:rPr>
          <w:rFonts w:ascii="Arial" w:hAnsi="Arial" w:cs="Arial"/>
        </w:rPr>
        <w:t xml:space="preserve"> Conseil d’administration : confirmation de la présidence et du directeur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général</w:t>
      </w:r>
    </w:p>
    <w:p w14:paraId="051363BE" w14:textId="2604E4D9" w:rsidR="00780350" w:rsidRPr="00934539" w:rsidRDefault="00780350" w:rsidP="00780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Pr="00934539">
        <w:rPr>
          <w:rFonts w:ascii="Arial" w:hAnsi="Arial" w:cs="Arial"/>
        </w:rPr>
        <w:t xml:space="preserve">: Envoi de la demande d’agrément au </w:t>
      </w:r>
      <w:r>
        <w:rPr>
          <w:rFonts w:ascii="Arial" w:hAnsi="Arial" w:cs="Arial"/>
        </w:rPr>
        <w:t>Préfet</w:t>
      </w:r>
      <w:r w:rsidRPr="00934539">
        <w:rPr>
          <w:rFonts w:ascii="Arial" w:hAnsi="Arial" w:cs="Arial"/>
        </w:rPr>
        <w:t xml:space="preserve"> (délai</w:t>
      </w:r>
      <w:r>
        <w:rPr>
          <w:rFonts w:ascii="Arial" w:hAnsi="Arial" w:cs="Arial"/>
        </w:rPr>
        <w:t xml:space="preserve"> </w:t>
      </w:r>
      <w:r w:rsidRPr="00934539">
        <w:rPr>
          <w:rFonts w:ascii="Arial" w:hAnsi="Arial" w:cs="Arial"/>
        </w:rPr>
        <w:t>d’obtention 3 mois)</w:t>
      </w:r>
    </w:p>
    <w:p w14:paraId="53E62333" w14:textId="77777777" w:rsidR="00780350" w:rsidRPr="00934539" w:rsidRDefault="00780350" w:rsidP="00780350">
      <w:pPr>
        <w:jc w:val="both"/>
        <w:rPr>
          <w:rFonts w:ascii="Arial" w:hAnsi="Arial" w:cs="Arial"/>
        </w:rPr>
      </w:pPr>
    </w:p>
    <w:p w14:paraId="3EE137B1" w14:textId="77777777" w:rsidR="00780350" w:rsidRPr="00934539" w:rsidRDefault="00780350" w:rsidP="00780350">
      <w:pPr>
        <w:rPr>
          <w:rFonts w:ascii="Arial" w:hAnsi="Arial" w:cs="Arial"/>
        </w:rPr>
      </w:pPr>
    </w:p>
    <w:p w14:paraId="38C30083" w14:textId="77777777" w:rsidR="00780350" w:rsidRDefault="00780350"/>
    <w:sectPr w:rsidR="0078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wy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B78F2"/>
    <w:multiLevelType w:val="hybridMultilevel"/>
    <w:tmpl w:val="CD747786"/>
    <w:lvl w:ilvl="0" w:tplc="0060D2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E0E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A740A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3612">
      <w:numFmt w:val="bullet"/>
      <w:lvlText w:val=""/>
      <w:lvlJc w:val="left"/>
      <w:pPr>
        <w:tabs>
          <w:tab w:val="num" w:pos="3600"/>
        </w:tabs>
        <w:ind w:left="3600" w:hanging="360"/>
      </w:pPr>
      <w:rPr>
        <w:rFonts w:ascii="Wingdings 3" w:eastAsia="Times New Roman" w:hAnsi="Wingdings 3" w:cs="Arial" w:hint="default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68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50"/>
    <w:rsid w:val="007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403C"/>
  <w15:chartTrackingRefBased/>
  <w15:docId w15:val="{8D0604DD-DC5F-D946-B6DC-D3647A33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35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5095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LOURIER</dc:creator>
  <cp:keywords/>
  <dc:description/>
  <cp:lastModifiedBy>Vincent LOURIER</cp:lastModifiedBy>
  <cp:revision>1</cp:revision>
  <dcterms:created xsi:type="dcterms:W3CDTF">2022-11-24T10:14:00Z</dcterms:created>
  <dcterms:modified xsi:type="dcterms:W3CDTF">2022-11-24T10:21:00Z</dcterms:modified>
</cp:coreProperties>
</file>